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Laura Madau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Spécialiste administrative </w:t>
      </w:r>
      <w:r/>
    </w:p>
    <w:p>
      <w:pPr/>
      <w:r>
        <w:t> E-mail : laura.madau@hetsl.ch </w:t>
      </w:r>
      <w:r/>
    </w:p>
    <w:p>
      <w:pPr/>
      <w:r>
        <w:t> Téléphone direct : +41 21 651 03 43 </w:t>
      </w:r>
      <w:r/>
    </w:p>
    <w:p>
      <w:pPr/>
      <w:r>
        <w:t> N° de bureau : C 120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01.07.2023 - 14.09.2023 </w:t>
      </w:r>
      <w:r/>
    </w:p>
    <w:p>
      <w:pPr/>
      <w:r>
        <w:rPr>
          <w:b/>
        </w:rPr>
        <w:t>Membre du comité d'organisation de la journée d'étude Interprofessionnalité : enjeux et perspectives</w:t>
      </w:r>
      <w:r/>
    </w:p>
    <w:p>
      <w:pPr/>
      <w:r>
        <w:t>Direction générale de la cohésion sociale (DGCS), Canton de Vaud, Canton de Vaud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